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20F" w:rsidRDefault="00F525C3" w:rsidP="00F52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l-GR"/>
        </w:rPr>
      </w:pPr>
      <w:r w:rsidRPr="00F525C3">
        <w:rPr>
          <w:b/>
          <w:bCs/>
          <w:u w:val="single"/>
        </w:rPr>
        <w:t>Βασικοί</w:t>
      </w:r>
      <w:r w:rsidRPr="00F525C3">
        <w:rPr>
          <w:b/>
          <w:bCs/>
          <w:u w:val="single"/>
          <w:lang w:val="en-US"/>
        </w:rPr>
        <w:t xml:space="preserve"> </w:t>
      </w:r>
      <w:r w:rsidRPr="00F525C3">
        <w:rPr>
          <w:b/>
          <w:bCs/>
          <w:u w:val="single"/>
        </w:rPr>
        <w:t>Δείκτες</w:t>
      </w:r>
      <w:r w:rsidRPr="00F525C3">
        <w:rPr>
          <w:b/>
          <w:bCs/>
          <w:u w:val="single"/>
          <w:lang w:val="en-US"/>
        </w:rPr>
        <w:t xml:space="preserve"> </w:t>
      </w:r>
      <w:r w:rsidRPr="00F525C3">
        <w:rPr>
          <w:b/>
          <w:bCs/>
          <w:u w:val="single"/>
        </w:rPr>
        <w:t>Απόδοσης</w:t>
      </w:r>
      <w:r w:rsidRPr="00F525C3">
        <w:rPr>
          <w:b/>
          <w:bCs/>
          <w:u w:val="single"/>
          <w:lang w:val="en-US"/>
        </w:rPr>
        <w:t xml:space="preserve"> (Key Performance Indicators)</w:t>
      </w:r>
      <w:r w:rsidRPr="00F525C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 w:eastAsia="el-GR"/>
        </w:rPr>
        <w:t xml:space="preserve"> KPIs</w:t>
      </w:r>
    </w:p>
    <w:p w:rsidR="00F525C3" w:rsidRPr="00F525C3" w:rsidRDefault="00F525C3" w:rsidP="00F525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l-GR"/>
        </w:rPr>
      </w:pPr>
    </w:p>
    <w:p w:rsidR="0005320F" w:rsidRDefault="0005320F" w:rsidP="0005320F">
      <w:pPr>
        <w:pStyle w:val="4"/>
      </w:pPr>
      <w:r>
        <w:t>1. Δείκτες Αξιοπιστίας και Ποιότητας</w:t>
      </w:r>
    </w:p>
    <w:p w:rsidR="00455FEC" w:rsidRDefault="0005320F" w:rsidP="00455FEC">
      <w:pPr>
        <w:pStyle w:val="Web"/>
        <w:numPr>
          <w:ilvl w:val="0"/>
          <w:numId w:val="2"/>
        </w:numPr>
      </w:pPr>
      <w:r>
        <w:rPr>
          <w:rStyle w:val="citation-25"/>
          <w:rFonts w:eastAsiaTheme="majorEastAsia"/>
          <w:b/>
          <w:bCs/>
        </w:rPr>
        <w:t>OTD (</w:t>
      </w:r>
      <w:proofErr w:type="spellStart"/>
      <w:r>
        <w:rPr>
          <w:rStyle w:val="citation-25"/>
          <w:rFonts w:eastAsiaTheme="majorEastAsia"/>
          <w:b/>
          <w:bCs/>
        </w:rPr>
        <w:t>On</w:t>
      </w:r>
      <w:proofErr w:type="spellEnd"/>
      <w:r>
        <w:rPr>
          <w:rStyle w:val="citation-25"/>
          <w:rFonts w:eastAsiaTheme="majorEastAsia"/>
          <w:b/>
          <w:bCs/>
        </w:rPr>
        <w:t>-</w:t>
      </w:r>
      <w:proofErr w:type="spellStart"/>
      <w:r>
        <w:rPr>
          <w:rStyle w:val="citation-25"/>
          <w:rFonts w:eastAsiaTheme="majorEastAsia"/>
          <w:b/>
          <w:bCs/>
        </w:rPr>
        <w:t>Time</w:t>
      </w:r>
      <w:proofErr w:type="spellEnd"/>
      <w:r>
        <w:rPr>
          <w:rStyle w:val="citation-25"/>
          <w:rFonts w:eastAsiaTheme="majorEastAsia"/>
          <w:b/>
          <w:bCs/>
        </w:rPr>
        <w:t xml:space="preserve"> </w:t>
      </w:r>
      <w:proofErr w:type="spellStart"/>
      <w:r>
        <w:rPr>
          <w:rStyle w:val="citation-25"/>
          <w:rFonts w:eastAsiaTheme="majorEastAsia"/>
          <w:b/>
          <w:bCs/>
        </w:rPr>
        <w:t>Delivery</w:t>
      </w:r>
      <w:proofErr w:type="spellEnd"/>
      <w:r>
        <w:rPr>
          <w:rStyle w:val="citation-25"/>
          <w:rFonts w:eastAsiaTheme="majorEastAsia"/>
          <w:b/>
          <w:bCs/>
        </w:rPr>
        <w:t xml:space="preserve"> </w:t>
      </w:r>
      <w:proofErr w:type="spellStart"/>
      <w:r>
        <w:rPr>
          <w:rStyle w:val="citation-25"/>
          <w:rFonts w:eastAsiaTheme="majorEastAsia"/>
          <w:b/>
          <w:bCs/>
        </w:rPr>
        <w:t>Rate</w:t>
      </w:r>
      <w:proofErr w:type="spellEnd"/>
      <w:r>
        <w:rPr>
          <w:rStyle w:val="citation-25"/>
          <w:rFonts w:eastAsiaTheme="majorEastAsia"/>
          <w:b/>
          <w:bCs/>
        </w:rPr>
        <w:t>) – Ποσοστό Έγκαιρης Παράδοσης:</w:t>
      </w:r>
      <w:r>
        <w:rPr>
          <w:rStyle w:val="citation-25"/>
          <w:rFonts w:eastAsiaTheme="majorEastAsia"/>
        </w:rPr>
        <w:t xml:space="preserve"> Μετρά την αξιοπιστία των μεταφορών και την ικανότητα συγχρονισμού των μέσων, υπολογίζοντας το ποσοστό των φορτίων που παραδόθηκαν ακριβώς στον συμφωνημένο χρόνο</w:t>
      </w:r>
      <w:r>
        <w:t xml:space="preserve">. </w:t>
      </w:r>
      <w:r w:rsidR="00FE4FB8" w:rsidRPr="00FE4FB8">
        <w:t xml:space="preserve"> </w:t>
      </w:r>
      <w:r w:rsidR="00FE4FB8" w:rsidRPr="008B74F9">
        <w:rPr>
          <w:b/>
          <w:color w:val="FF0000"/>
        </w:rPr>
        <w:t xml:space="preserve">ΤΥΠΟΣ </w:t>
      </w:r>
      <w:r w:rsidR="00FE4FB8" w:rsidRPr="008B74F9">
        <w:rPr>
          <w:b/>
          <w:color w:val="FF0000"/>
          <w:lang w:val="en-US"/>
        </w:rPr>
        <w:t>:</w:t>
      </w:r>
      <w:r w:rsidR="00FE4FB8" w:rsidRPr="008B74F9">
        <w:rPr>
          <w:rStyle w:val="citation-25"/>
          <w:rFonts w:eastAsiaTheme="majorEastAsia"/>
          <w:b/>
          <w:bCs/>
          <w:color w:val="FF0000"/>
        </w:rPr>
        <w:t xml:space="preserve"> OTD</w:t>
      </w:r>
      <w:r w:rsidR="00FE4FB8" w:rsidRPr="008B74F9">
        <w:rPr>
          <w:b/>
          <w:color w:val="FF0000"/>
          <w:lang w:val="en-US"/>
        </w:rPr>
        <w:t xml:space="preserve"> = </w:t>
      </w:r>
      <w:r w:rsidR="00FE4FB8" w:rsidRPr="008B74F9">
        <w:rPr>
          <w:b/>
          <w:color w:val="FF0000"/>
        </w:rPr>
        <w:t>(Έγκαιρες Παραδόσεις / Συνολικές Παραδόσεις) x 100.</w:t>
      </w:r>
    </w:p>
    <w:p w:rsidR="0005320F" w:rsidRDefault="0005320F" w:rsidP="0005320F">
      <w:pPr>
        <w:pStyle w:val="Web"/>
        <w:numPr>
          <w:ilvl w:val="0"/>
          <w:numId w:val="2"/>
        </w:numPr>
      </w:pPr>
      <w:proofErr w:type="spellStart"/>
      <w:r>
        <w:rPr>
          <w:rStyle w:val="citation-24"/>
          <w:rFonts w:eastAsiaTheme="majorEastAsia"/>
          <w:b/>
          <w:bCs/>
        </w:rPr>
        <w:t>Defect</w:t>
      </w:r>
      <w:proofErr w:type="spellEnd"/>
      <w:r>
        <w:rPr>
          <w:rStyle w:val="citation-24"/>
          <w:rFonts w:eastAsiaTheme="majorEastAsia"/>
          <w:b/>
          <w:bCs/>
        </w:rPr>
        <w:t xml:space="preserve"> </w:t>
      </w:r>
      <w:proofErr w:type="spellStart"/>
      <w:r>
        <w:rPr>
          <w:rStyle w:val="citation-24"/>
          <w:rFonts w:eastAsiaTheme="majorEastAsia"/>
          <w:b/>
          <w:bCs/>
        </w:rPr>
        <w:t>Rate</w:t>
      </w:r>
      <w:proofErr w:type="spellEnd"/>
      <w:r>
        <w:rPr>
          <w:rStyle w:val="citation-24"/>
          <w:rFonts w:eastAsiaTheme="majorEastAsia"/>
          <w:b/>
          <w:bCs/>
        </w:rPr>
        <w:t xml:space="preserve"> – Δείκτης Ακεραιότητας / Ποσοστό Σφαλμάτων:</w:t>
      </w:r>
      <w:r>
        <w:rPr>
          <w:rStyle w:val="citation-24"/>
          <w:rFonts w:eastAsiaTheme="majorEastAsia"/>
        </w:rPr>
        <w:t xml:space="preserve"> Μετρά τη συχνότητα φυσικών φθορών στα εμπορεύματα αλλά και τα λάθη στα συνοδευτικά έγγραφα</w:t>
      </w:r>
      <w:r>
        <w:t>.</w:t>
      </w:r>
      <w:r w:rsidR="008B74F9" w:rsidRPr="008B74F9">
        <w:rPr>
          <w:b/>
          <w:color w:val="FF0000"/>
        </w:rPr>
        <w:t xml:space="preserve"> ΤΥΠΟΣ :</w:t>
      </w:r>
      <w:r w:rsidR="008B74F9" w:rsidRPr="008B74F9">
        <w:rPr>
          <w:rStyle w:val="citation-25"/>
          <w:rFonts w:eastAsiaTheme="majorEastAsia"/>
          <w:b/>
          <w:bCs/>
          <w:color w:val="FF0000"/>
        </w:rPr>
        <w:t xml:space="preserve"> </w:t>
      </w:r>
      <w:r w:rsidRPr="008B74F9">
        <w:rPr>
          <w:b/>
          <w:color w:val="FF0000"/>
        </w:rPr>
        <w:t xml:space="preserve"> </w:t>
      </w:r>
      <w:r w:rsidR="008B74F9" w:rsidRPr="008B74F9">
        <w:rPr>
          <w:b/>
          <w:color w:val="FF0000"/>
        </w:rPr>
        <w:t xml:space="preserve"> </w:t>
      </w:r>
      <w:proofErr w:type="spellStart"/>
      <w:r w:rsidR="008B74F9" w:rsidRPr="008B74F9">
        <w:rPr>
          <w:b/>
          <w:bCs/>
          <w:color w:val="FF0000"/>
        </w:rPr>
        <w:t>Defect</w:t>
      </w:r>
      <w:proofErr w:type="spellEnd"/>
      <w:r w:rsidR="008B74F9" w:rsidRPr="008B74F9">
        <w:rPr>
          <w:b/>
          <w:bCs/>
          <w:color w:val="FF0000"/>
        </w:rPr>
        <w:t xml:space="preserve"> </w:t>
      </w:r>
      <w:proofErr w:type="spellStart"/>
      <w:r w:rsidR="008B74F9" w:rsidRPr="008B74F9">
        <w:rPr>
          <w:b/>
          <w:bCs/>
          <w:color w:val="FF0000"/>
        </w:rPr>
        <w:t>Rate</w:t>
      </w:r>
      <w:proofErr w:type="spellEnd"/>
      <w:r w:rsidR="008B74F9" w:rsidRPr="008B74F9">
        <w:rPr>
          <w:b/>
          <w:bCs/>
          <w:color w:val="FF0000"/>
        </w:rPr>
        <w:t xml:space="preserve"> (%)</w:t>
      </w:r>
      <w:r w:rsidR="008B74F9" w:rsidRPr="008B74F9">
        <w:rPr>
          <w:b/>
          <w:color w:val="FF0000"/>
        </w:rPr>
        <w:t xml:space="preserve"> = [Αριθμός Ελαττωματικών Μονάδων / Συνολικός Αριθμός Μονάδων] x 100</w:t>
      </w:r>
    </w:p>
    <w:p w:rsidR="00FE4FB8" w:rsidRPr="00455FEC" w:rsidRDefault="0005320F" w:rsidP="00FE4FB8">
      <w:pPr>
        <w:pStyle w:val="Web"/>
        <w:numPr>
          <w:ilvl w:val="0"/>
          <w:numId w:val="2"/>
        </w:numPr>
      </w:pPr>
      <w:r>
        <w:rPr>
          <w:rStyle w:val="citation-23"/>
          <w:rFonts w:eastAsiaTheme="majorEastAsia"/>
          <w:b/>
          <w:bCs/>
        </w:rPr>
        <w:t>POR (</w:t>
      </w:r>
      <w:proofErr w:type="spellStart"/>
      <w:r>
        <w:rPr>
          <w:rStyle w:val="citation-23"/>
          <w:rFonts w:eastAsiaTheme="majorEastAsia"/>
          <w:b/>
          <w:bCs/>
        </w:rPr>
        <w:t>Perfect</w:t>
      </w:r>
      <w:proofErr w:type="spellEnd"/>
      <w:r>
        <w:rPr>
          <w:rStyle w:val="citation-23"/>
          <w:rFonts w:eastAsiaTheme="majorEastAsia"/>
          <w:b/>
          <w:bCs/>
        </w:rPr>
        <w:t xml:space="preserve"> </w:t>
      </w:r>
      <w:proofErr w:type="spellStart"/>
      <w:r>
        <w:rPr>
          <w:rStyle w:val="citation-23"/>
          <w:rFonts w:eastAsiaTheme="majorEastAsia"/>
          <w:b/>
          <w:bCs/>
        </w:rPr>
        <w:t>Order</w:t>
      </w:r>
      <w:proofErr w:type="spellEnd"/>
      <w:r>
        <w:rPr>
          <w:rStyle w:val="citation-23"/>
          <w:rFonts w:eastAsiaTheme="majorEastAsia"/>
          <w:b/>
          <w:bCs/>
        </w:rPr>
        <w:t xml:space="preserve"> </w:t>
      </w:r>
      <w:proofErr w:type="spellStart"/>
      <w:r>
        <w:rPr>
          <w:rStyle w:val="citation-23"/>
          <w:rFonts w:eastAsiaTheme="majorEastAsia"/>
          <w:b/>
          <w:bCs/>
        </w:rPr>
        <w:t>Rate</w:t>
      </w:r>
      <w:proofErr w:type="spellEnd"/>
      <w:r>
        <w:rPr>
          <w:rStyle w:val="citation-23"/>
          <w:rFonts w:eastAsiaTheme="majorEastAsia"/>
          <w:b/>
          <w:bCs/>
        </w:rPr>
        <w:t xml:space="preserve">) – Ποσοστό Τέλειας </w:t>
      </w:r>
      <w:proofErr w:type="spellStart"/>
      <w:r>
        <w:rPr>
          <w:rStyle w:val="citation-23"/>
          <w:rFonts w:eastAsiaTheme="majorEastAsia"/>
          <w:b/>
          <w:bCs/>
        </w:rPr>
        <w:t>Παράγγελίας</w:t>
      </w:r>
      <w:proofErr w:type="spellEnd"/>
      <w:r>
        <w:rPr>
          <w:rStyle w:val="citation-23"/>
          <w:rFonts w:eastAsiaTheme="majorEastAsia"/>
          <w:b/>
          <w:bCs/>
        </w:rPr>
        <w:t>:</w:t>
      </w:r>
      <w:r>
        <w:rPr>
          <w:rStyle w:val="citation-23"/>
          <w:rFonts w:eastAsiaTheme="majorEastAsia"/>
        </w:rPr>
        <w:t xml:space="preserve"> Ο απόλυτος δείκτης ποιότητας υπηρεσίας</w:t>
      </w:r>
      <w:r>
        <w:t>.</w:t>
      </w:r>
      <w:r w:rsidR="00FE4FB8" w:rsidRPr="00FE4FB8">
        <w:rPr>
          <w:b/>
        </w:rPr>
        <w:t xml:space="preserve"> </w:t>
      </w:r>
      <w:r w:rsidR="00FE4FB8" w:rsidRPr="008B74F9">
        <w:rPr>
          <w:b/>
          <w:color w:val="FF0000"/>
        </w:rPr>
        <w:t>ΤΥΠΟΣ</w:t>
      </w:r>
      <w:r w:rsidRPr="008B74F9">
        <w:rPr>
          <w:b/>
          <w:color w:val="FF0000"/>
        </w:rPr>
        <w:t xml:space="preserve"> </w:t>
      </w:r>
      <w:r w:rsidRPr="008B74F9">
        <w:rPr>
          <w:rStyle w:val="citation-22"/>
          <w:rFonts w:eastAsiaTheme="majorEastAsia"/>
          <w:b/>
          <w:color w:val="FF0000"/>
        </w:rPr>
        <w:t xml:space="preserve">: </w:t>
      </w:r>
      <w:r w:rsidR="00FE4FB8" w:rsidRPr="008B74F9">
        <w:rPr>
          <w:rStyle w:val="citation-23"/>
          <w:rFonts w:eastAsiaTheme="majorEastAsia"/>
          <w:b/>
          <w:bCs/>
          <w:color w:val="FF0000"/>
        </w:rPr>
        <w:t>POR=</w:t>
      </w:r>
      <w:r w:rsidR="00FE4FB8" w:rsidRPr="008B74F9">
        <w:rPr>
          <w:rStyle w:val="citation-22"/>
          <w:rFonts w:eastAsiaTheme="majorEastAsia"/>
          <w:b/>
          <w:i/>
          <w:iCs/>
          <w:color w:val="FF0000"/>
        </w:rPr>
        <w:t xml:space="preserve"> </w:t>
      </w:r>
      <w:r w:rsidRPr="008B74F9">
        <w:rPr>
          <w:rStyle w:val="citation-22"/>
          <w:rFonts w:eastAsiaTheme="majorEastAsia"/>
          <w:b/>
          <w:i/>
          <w:iCs/>
          <w:color w:val="FF0000"/>
        </w:rPr>
        <w:t>(Έγκαιρη Παράδοση) × (Πλήρης Παράδοση) × (Χωρίς Ζημιές) × (Σωστά Έγγραφα)</w:t>
      </w:r>
      <w:r w:rsidRPr="008B74F9">
        <w:rPr>
          <w:b/>
          <w:color w:val="FF0000"/>
        </w:rPr>
        <w:t>.</w:t>
      </w:r>
      <w:r>
        <w:t xml:space="preserve"> </w:t>
      </w:r>
    </w:p>
    <w:p w:rsidR="0005320F" w:rsidRDefault="0005320F" w:rsidP="0005320F">
      <w:pPr>
        <w:pStyle w:val="4"/>
      </w:pPr>
      <w:r>
        <w:t>2. Δείκτες Χρόνου και Ροής (</w:t>
      </w:r>
      <w:proofErr w:type="spellStart"/>
      <w:r>
        <w:t>Lean</w:t>
      </w:r>
      <w:proofErr w:type="spellEnd"/>
      <w:r>
        <w:t xml:space="preserve"> / VSM)</w:t>
      </w:r>
    </w:p>
    <w:p w:rsidR="00FE4FB8" w:rsidRPr="00FE4FB8" w:rsidRDefault="0005320F" w:rsidP="00FE4FB8">
      <w:pPr>
        <w:pStyle w:val="Web"/>
        <w:numPr>
          <w:ilvl w:val="0"/>
          <w:numId w:val="3"/>
        </w:numPr>
      </w:pPr>
      <w:proofErr w:type="spellStart"/>
      <w:r>
        <w:rPr>
          <w:rStyle w:val="citation-21"/>
          <w:rFonts w:eastAsiaTheme="majorEastAsia"/>
          <w:b/>
          <w:bCs/>
        </w:rPr>
        <w:t>Total</w:t>
      </w:r>
      <w:proofErr w:type="spellEnd"/>
      <w:r>
        <w:rPr>
          <w:rStyle w:val="citation-21"/>
          <w:rFonts w:eastAsiaTheme="majorEastAsia"/>
          <w:b/>
          <w:bCs/>
        </w:rPr>
        <w:t xml:space="preserve"> </w:t>
      </w:r>
      <w:proofErr w:type="spellStart"/>
      <w:r>
        <w:rPr>
          <w:rStyle w:val="citation-21"/>
          <w:rFonts w:eastAsiaTheme="majorEastAsia"/>
          <w:b/>
          <w:bCs/>
        </w:rPr>
        <w:t>Lead</w:t>
      </w:r>
      <w:proofErr w:type="spellEnd"/>
      <w:r>
        <w:rPr>
          <w:rStyle w:val="citation-21"/>
          <w:rFonts w:eastAsiaTheme="majorEastAsia"/>
          <w:b/>
          <w:bCs/>
        </w:rPr>
        <w:t xml:space="preserve"> </w:t>
      </w:r>
      <w:proofErr w:type="spellStart"/>
      <w:r>
        <w:rPr>
          <w:rStyle w:val="citation-21"/>
          <w:rFonts w:eastAsiaTheme="majorEastAsia"/>
          <w:b/>
          <w:bCs/>
        </w:rPr>
        <w:t>Time</w:t>
      </w:r>
      <w:proofErr w:type="spellEnd"/>
      <w:r>
        <w:rPr>
          <w:rStyle w:val="citation-21"/>
          <w:rFonts w:eastAsiaTheme="majorEastAsia"/>
          <w:b/>
          <w:bCs/>
        </w:rPr>
        <w:t xml:space="preserve"> – Συνολικός Χρόνος Κύκλου:</w:t>
      </w:r>
      <w:r>
        <w:rPr>
          <w:rStyle w:val="citation-21"/>
          <w:rFonts w:eastAsiaTheme="majorEastAsia"/>
        </w:rPr>
        <w:t xml:space="preserve"> Ο συνολικός χρόνος που μεσολαβεί από την καταχώρηση μιας παραγγελίας μέχρι την τελική παράδοση στον πελάτη</w:t>
      </w:r>
      <w:r>
        <w:t xml:space="preserve">. </w:t>
      </w:r>
    </w:p>
    <w:p w:rsidR="00FE4FB8" w:rsidRPr="00455FEC" w:rsidRDefault="0005320F" w:rsidP="00455FEC">
      <w:pPr>
        <w:pStyle w:val="Web"/>
        <w:numPr>
          <w:ilvl w:val="0"/>
          <w:numId w:val="3"/>
        </w:numPr>
      </w:pPr>
      <w:proofErr w:type="spellStart"/>
      <w:r w:rsidRPr="00FE4FB8">
        <w:rPr>
          <w:rStyle w:val="citation-20"/>
          <w:rFonts w:eastAsiaTheme="majorEastAsia"/>
          <w:b/>
          <w:bCs/>
        </w:rPr>
        <w:t>Process</w:t>
      </w:r>
      <w:proofErr w:type="spellEnd"/>
      <w:r w:rsidRPr="00FE4FB8">
        <w:rPr>
          <w:rStyle w:val="citation-20"/>
          <w:rFonts w:eastAsiaTheme="majorEastAsia"/>
          <w:b/>
          <w:bCs/>
        </w:rPr>
        <w:t xml:space="preserve"> </w:t>
      </w:r>
      <w:proofErr w:type="spellStart"/>
      <w:r w:rsidRPr="00FE4FB8">
        <w:rPr>
          <w:rStyle w:val="citation-20"/>
          <w:rFonts w:eastAsiaTheme="majorEastAsia"/>
          <w:b/>
          <w:bCs/>
        </w:rPr>
        <w:t>Cycle</w:t>
      </w:r>
      <w:proofErr w:type="spellEnd"/>
      <w:r w:rsidRPr="00FE4FB8">
        <w:rPr>
          <w:rStyle w:val="citation-20"/>
          <w:rFonts w:eastAsiaTheme="majorEastAsia"/>
          <w:b/>
          <w:bCs/>
        </w:rPr>
        <w:t xml:space="preserve"> </w:t>
      </w:r>
      <w:proofErr w:type="spellStart"/>
      <w:r w:rsidRPr="00FE4FB8">
        <w:rPr>
          <w:rStyle w:val="citation-20"/>
          <w:rFonts w:eastAsiaTheme="majorEastAsia"/>
          <w:b/>
          <w:bCs/>
        </w:rPr>
        <w:t>Efficiency</w:t>
      </w:r>
      <w:proofErr w:type="spellEnd"/>
      <w:r w:rsidRPr="00FE4FB8">
        <w:rPr>
          <w:rStyle w:val="citation-20"/>
          <w:rFonts w:eastAsiaTheme="majorEastAsia"/>
          <w:b/>
          <w:bCs/>
        </w:rPr>
        <w:t xml:space="preserve"> – Δείκτης Απόδοσης Ροής:</w:t>
      </w:r>
      <w:r w:rsidRPr="00FE4FB8">
        <w:rPr>
          <w:rStyle w:val="citation-20"/>
          <w:rFonts w:eastAsiaTheme="majorEastAsia"/>
        </w:rPr>
        <w:t xml:space="preserve"> Δείχνει τι ποσοστό του συνολικού χρόνου δαπανήθηκε σε δραστηριότητες που προσέθεσαν πραγματική αξία (π.χ. καθαρός χρόνος κίνησης του πλοίου/φορτηγού) έναντι των «νεκρών χρόνων» αναμονής σε λιμάνια ή </w:t>
      </w:r>
      <w:proofErr w:type="spellStart"/>
      <w:r w:rsidRPr="00FE4FB8">
        <w:rPr>
          <w:rStyle w:val="citation-20"/>
          <w:rFonts w:eastAsiaTheme="majorEastAsia"/>
        </w:rPr>
        <w:t>τελωνεία</w:t>
      </w:r>
      <w:r>
        <w:t>.</w:t>
      </w:r>
      <w:r w:rsidR="00FE4FB8" w:rsidRPr="00455FEC">
        <w:rPr>
          <w:b/>
          <w:color w:val="FF0000"/>
        </w:rPr>
        <w:t>ΤΥΠΟΣ</w:t>
      </w:r>
      <w:proofErr w:type="spellEnd"/>
      <w:r w:rsidR="00FE4FB8" w:rsidRPr="00455FEC">
        <w:rPr>
          <w:b/>
          <w:color w:val="FF0000"/>
        </w:rPr>
        <w:t xml:space="preserve">: </w:t>
      </w:r>
      <w:r w:rsidR="00FE4FB8" w:rsidRPr="00455FEC">
        <w:rPr>
          <w:b/>
          <w:bCs/>
          <w:color w:val="FF0000"/>
          <w:lang w:val="en-US"/>
        </w:rPr>
        <w:t>Process</w:t>
      </w:r>
      <w:r w:rsidR="00FE4FB8" w:rsidRPr="00455FEC">
        <w:rPr>
          <w:b/>
          <w:bCs/>
          <w:color w:val="FF0000"/>
        </w:rPr>
        <w:t xml:space="preserve"> </w:t>
      </w:r>
      <w:r w:rsidR="00FE4FB8" w:rsidRPr="00455FEC">
        <w:rPr>
          <w:b/>
          <w:bCs/>
          <w:color w:val="FF0000"/>
          <w:lang w:val="en-US"/>
        </w:rPr>
        <w:t>Cycle</w:t>
      </w:r>
      <w:r w:rsidR="00FE4FB8" w:rsidRPr="00455FEC">
        <w:rPr>
          <w:b/>
          <w:bCs/>
          <w:color w:val="FF0000"/>
        </w:rPr>
        <w:t xml:space="preserve"> </w:t>
      </w:r>
      <w:r w:rsidR="00FE4FB8" w:rsidRPr="00455FEC">
        <w:rPr>
          <w:b/>
          <w:bCs/>
          <w:color w:val="FF0000"/>
          <w:lang w:val="en-US"/>
        </w:rPr>
        <w:t>Efficiency</w:t>
      </w:r>
      <w:r w:rsidR="00FE4FB8" w:rsidRPr="00455FEC">
        <w:rPr>
          <w:b/>
          <w:bCs/>
          <w:color w:val="FF0000"/>
        </w:rPr>
        <w:t>:</w:t>
      </w:r>
      <w:r w:rsidR="00FE4FB8" w:rsidRPr="00455FEC">
        <w:rPr>
          <w:b/>
          <w:color w:val="FF0000"/>
        </w:rPr>
        <w:t xml:space="preserve"> (Χρόνος Προστιθέμενης Αξίας / Συνολικό </w:t>
      </w:r>
      <w:r w:rsidR="00FE4FB8" w:rsidRPr="00455FEC">
        <w:rPr>
          <w:b/>
          <w:color w:val="FF0000"/>
          <w:lang w:val="en-US"/>
        </w:rPr>
        <w:t>Lead</w:t>
      </w:r>
      <w:r w:rsidR="00FE4FB8" w:rsidRPr="00455FEC">
        <w:rPr>
          <w:b/>
          <w:color w:val="FF0000"/>
        </w:rPr>
        <w:t xml:space="preserve"> </w:t>
      </w:r>
      <w:r w:rsidR="00FE4FB8" w:rsidRPr="00455FEC">
        <w:rPr>
          <w:b/>
          <w:color w:val="FF0000"/>
          <w:lang w:val="en-US"/>
        </w:rPr>
        <w:t>Time</w:t>
      </w:r>
      <w:r w:rsidR="00FE4FB8" w:rsidRPr="00455FEC">
        <w:rPr>
          <w:b/>
          <w:color w:val="FF0000"/>
        </w:rPr>
        <w:t xml:space="preserve">) </w:t>
      </w:r>
      <w:r w:rsidR="00FE4FB8" w:rsidRPr="00455FEC">
        <w:rPr>
          <w:b/>
          <w:color w:val="FF0000"/>
          <w:lang w:val="en-US"/>
        </w:rPr>
        <w:t>x</w:t>
      </w:r>
      <w:r w:rsidR="00FE4FB8" w:rsidRPr="00455FEC">
        <w:rPr>
          <w:b/>
          <w:color w:val="FF0000"/>
        </w:rPr>
        <w:t xml:space="preserve"> 100. </w:t>
      </w:r>
    </w:p>
    <w:p w:rsidR="0005320F" w:rsidRDefault="0005320F" w:rsidP="0005320F">
      <w:pPr>
        <w:pStyle w:val="Web"/>
        <w:numPr>
          <w:ilvl w:val="0"/>
          <w:numId w:val="3"/>
        </w:numPr>
      </w:pPr>
      <w:proofErr w:type="spellStart"/>
      <w:r>
        <w:rPr>
          <w:b/>
          <w:bCs/>
        </w:rPr>
        <w:t>Dwell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Time</w:t>
      </w:r>
      <w:proofErr w:type="spellEnd"/>
      <w:r>
        <w:rPr>
          <w:b/>
          <w:bCs/>
        </w:rPr>
        <w:t xml:space="preserve"> – Χρόνος Παραμονής:</w:t>
      </w:r>
      <w:r>
        <w:t xml:space="preserve"> Μετρά πόσες ημέρες ή ώρες «λιμνάζει» μια μονάδα φόρτωσης (π.χ. ένα κοντέινερ) σε έναν τερματικό σταθμό ή λιμάνι πριν την παραλαβή της.</w:t>
      </w:r>
    </w:p>
    <w:p w:rsidR="0005320F" w:rsidRDefault="0005320F" w:rsidP="0005320F">
      <w:pPr>
        <w:pStyle w:val="4"/>
      </w:pPr>
      <w:r>
        <w:t>3. Δείκτες Απόδοσης Πάγιου Εξοπλισμού</w:t>
      </w:r>
    </w:p>
    <w:p w:rsidR="0005320F" w:rsidRPr="00455FEC" w:rsidRDefault="0005320F" w:rsidP="00455FEC">
      <w:pPr>
        <w:pStyle w:val="Web"/>
        <w:numPr>
          <w:ilvl w:val="0"/>
          <w:numId w:val="11"/>
        </w:numPr>
        <w:rPr>
          <w:lang w:val="en-US"/>
        </w:rPr>
      </w:pPr>
      <w:r>
        <w:rPr>
          <w:rStyle w:val="citation-19"/>
          <w:rFonts w:eastAsiaTheme="majorEastAsia"/>
          <w:b/>
          <w:bCs/>
        </w:rPr>
        <w:t>OEE (</w:t>
      </w:r>
      <w:proofErr w:type="spellStart"/>
      <w:r>
        <w:rPr>
          <w:rStyle w:val="citation-19"/>
          <w:rFonts w:eastAsiaTheme="majorEastAsia"/>
          <w:b/>
          <w:bCs/>
        </w:rPr>
        <w:t>Overall</w:t>
      </w:r>
      <w:proofErr w:type="spellEnd"/>
      <w:r>
        <w:rPr>
          <w:rStyle w:val="citation-19"/>
          <w:rFonts w:eastAsiaTheme="majorEastAsia"/>
          <w:b/>
          <w:bCs/>
        </w:rPr>
        <w:t xml:space="preserve"> </w:t>
      </w:r>
      <w:proofErr w:type="spellStart"/>
      <w:r>
        <w:rPr>
          <w:rStyle w:val="citation-19"/>
          <w:rFonts w:eastAsiaTheme="majorEastAsia"/>
          <w:b/>
          <w:bCs/>
        </w:rPr>
        <w:t>Equipment</w:t>
      </w:r>
      <w:proofErr w:type="spellEnd"/>
      <w:r>
        <w:rPr>
          <w:rStyle w:val="citation-19"/>
          <w:rFonts w:eastAsiaTheme="majorEastAsia"/>
          <w:b/>
          <w:bCs/>
        </w:rPr>
        <w:t xml:space="preserve"> </w:t>
      </w:r>
      <w:proofErr w:type="spellStart"/>
      <w:r>
        <w:rPr>
          <w:rStyle w:val="citation-19"/>
          <w:rFonts w:eastAsiaTheme="majorEastAsia"/>
          <w:b/>
          <w:bCs/>
        </w:rPr>
        <w:t>Effectiveness</w:t>
      </w:r>
      <w:proofErr w:type="spellEnd"/>
      <w:r>
        <w:rPr>
          <w:rStyle w:val="citation-19"/>
          <w:rFonts w:eastAsiaTheme="majorEastAsia"/>
          <w:b/>
          <w:bCs/>
        </w:rPr>
        <w:t>) – Συνολική Αποτελεσματικότητα Εξοπλισμού:</w:t>
      </w:r>
      <w:r>
        <w:rPr>
          <w:rStyle w:val="citation-19"/>
          <w:rFonts w:eastAsiaTheme="majorEastAsia"/>
        </w:rPr>
        <w:t xml:space="preserve"> Αξιολογεί την απόδοση των μέσων (π.χ. ενός στόλου φορτηγών) πολλαπλασιάζοντας τρεις παράγοντες: </w:t>
      </w:r>
      <w:r>
        <w:rPr>
          <w:rStyle w:val="citation-19"/>
          <w:rFonts w:eastAsiaTheme="majorEastAsia"/>
          <w:i/>
          <w:iCs/>
        </w:rPr>
        <w:t>Διαθεσιμότητα × Απόδοση (ταχύτητα) × Ποιότητα (ανέπαφο φορτίο)</w:t>
      </w:r>
      <w:r>
        <w:t xml:space="preserve">. </w:t>
      </w:r>
      <w:r w:rsidR="008B74F9" w:rsidRPr="008B74F9">
        <w:rPr>
          <w:b/>
          <w:color w:val="FF0000"/>
        </w:rPr>
        <w:t>ΤΥΠΟΣ</w:t>
      </w:r>
      <w:r w:rsidR="008B74F9" w:rsidRPr="008B74F9">
        <w:rPr>
          <w:b/>
          <w:color w:val="FF0000"/>
          <w:lang w:val="en-US"/>
        </w:rPr>
        <w:t xml:space="preserve">: </w:t>
      </w:r>
      <w:r w:rsidR="008B74F9" w:rsidRPr="008B74F9">
        <w:rPr>
          <w:b/>
          <w:bCs/>
          <w:color w:val="FF0000"/>
          <w:lang w:val="en-US"/>
        </w:rPr>
        <w:t>OEE (Overall Equipment Effectiveness):</w:t>
      </w:r>
      <w:r w:rsidR="008B74F9" w:rsidRPr="008B74F9">
        <w:rPr>
          <w:b/>
          <w:color w:val="FF0000"/>
          <w:lang w:val="en-US"/>
        </w:rPr>
        <w:t xml:space="preserve"> </w:t>
      </w:r>
      <w:r w:rsidR="008B74F9" w:rsidRPr="008B74F9">
        <w:rPr>
          <w:b/>
          <w:color w:val="FF0000"/>
        </w:rPr>
        <w:t>Διαθεσιμότητα</w:t>
      </w:r>
      <w:r w:rsidR="008B74F9" w:rsidRPr="008B74F9">
        <w:rPr>
          <w:b/>
          <w:color w:val="FF0000"/>
          <w:lang w:val="en-US"/>
        </w:rPr>
        <w:t xml:space="preserve"> x </w:t>
      </w:r>
      <w:r w:rsidR="008B74F9" w:rsidRPr="008B74F9">
        <w:rPr>
          <w:b/>
          <w:color w:val="FF0000"/>
        </w:rPr>
        <w:t>Απόδοση</w:t>
      </w:r>
      <w:r w:rsidR="008B74F9" w:rsidRPr="008B74F9">
        <w:rPr>
          <w:b/>
          <w:color w:val="FF0000"/>
          <w:lang w:val="en-US"/>
        </w:rPr>
        <w:t xml:space="preserve"> x </w:t>
      </w:r>
      <w:r w:rsidR="008B74F9" w:rsidRPr="008B74F9">
        <w:rPr>
          <w:b/>
          <w:color w:val="FF0000"/>
        </w:rPr>
        <w:t>Ποιότητα</w:t>
      </w:r>
      <w:r w:rsidR="008B74F9" w:rsidRPr="00FE4FB8">
        <w:rPr>
          <w:lang w:val="en-US"/>
        </w:rPr>
        <w:t xml:space="preserve">. </w:t>
      </w:r>
    </w:p>
    <w:p w:rsidR="0005320F" w:rsidRDefault="0005320F" w:rsidP="0005320F">
      <w:pPr>
        <w:pStyle w:val="4"/>
      </w:pPr>
      <w:r>
        <w:t>4. Σύνθετοι Δείκτες Στρατηγικής</w:t>
      </w:r>
    </w:p>
    <w:p w:rsidR="00455FEC" w:rsidRPr="00455FEC" w:rsidRDefault="0005320F" w:rsidP="00455FEC">
      <w:pPr>
        <w:pStyle w:val="Web"/>
        <w:numPr>
          <w:ilvl w:val="0"/>
          <w:numId w:val="10"/>
        </w:numPr>
      </w:pPr>
      <w:proofErr w:type="spellStart"/>
      <w:r>
        <w:rPr>
          <w:rStyle w:val="citation-18"/>
          <w:b/>
          <w:bCs/>
        </w:rPr>
        <w:t>Value</w:t>
      </w:r>
      <w:proofErr w:type="spellEnd"/>
      <w:r>
        <w:rPr>
          <w:rStyle w:val="citation-18"/>
          <w:b/>
          <w:bCs/>
        </w:rPr>
        <w:t xml:space="preserve"> </w:t>
      </w:r>
      <w:proofErr w:type="spellStart"/>
      <w:r>
        <w:rPr>
          <w:rStyle w:val="citation-18"/>
          <w:b/>
          <w:bCs/>
        </w:rPr>
        <w:t>Index</w:t>
      </w:r>
      <w:proofErr w:type="spellEnd"/>
      <w:r>
        <w:rPr>
          <w:rStyle w:val="citation-18"/>
          <w:b/>
          <w:bCs/>
        </w:rPr>
        <w:t xml:space="preserve"> – Δείκτης Απόδοσης Αξίας:</w:t>
      </w:r>
      <w:r>
        <w:rPr>
          <w:rStyle w:val="citation-18"/>
        </w:rPr>
        <w:t xml:space="preserve"> Συνδέει το οικονομικό σκέλος με την ποιότητα</w:t>
      </w:r>
      <w:r>
        <w:t xml:space="preserve">. </w:t>
      </w:r>
      <w:r>
        <w:rPr>
          <w:rStyle w:val="citation-17"/>
          <w:rFonts w:eastAsiaTheme="majorEastAsia"/>
        </w:rPr>
        <w:t xml:space="preserve">Δείχνει πόση ποιότητα «αγοράζεις» για κάθε ευρώ που ξοδεύεις: </w:t>
      </w:r>
      <w:r>
        <w:rPr>
          <w:rStyle w:val="citation-17"/>
          <w:rFonts w:eastAsiaTheme="majorEastAsia"/>
          <w:i/>
          <w:iCs/>
        </w:rPr>
        <w:t>(</w:t>
      </w:r>
      <w:proofErr w:type="spellStart"/>
      <w:r>
        <w:rPr>
          <w:rStyle w:val="citation-17"/>
          <w:rFonts w:eastAsiaTheme="majorEastAsia"/>
          <w:i/>
          <w:iCs/>
        </w:rPr>
        <w:t>Perfect</w:t>
      </w:r>
      <w:proofErr w:type="spellEnd"/>
      <w:r>
        <w:rPr>
          <w:rStyle w:val="citation-17"/>
          <w:rFonts w:eastAsiaTheme="majorEastAsia"/>
          <w:i/>
          <w:iCs/>
        </w:rPr>
        <w:t xml:space="preserve"> </w:t>
      </w:r>
      <w:proofErr w:type="spellStart"/>
      <w:r>
        <w:rPr>
          <w:rStyle w:val="citation-17"/>
          <w:rFonts w:eastAsiaTheme="majorEastAsia"/>
          <w:i/>
          <w:iCs/>
        </w:rPr>
        <w:t>Order</w:t>
      </w:r>
      <w:proofErr w:type="spellEnd"/>
      <w:r>
        <w:rPr>
          <w:rStyle w:val="citation-17"/>
          <w:rFonts w:eastAsiaTheme="majorEastAsia"/>
          <w:i/>
          <w:iCs/>
        </w:rPr>
        <w:t xml:space="preserve"> </w:t>
      </w:r>
      <w:proofErr w:type="spellStart"/>
      <w:r>
        <w:rPr>
          <w:rStyle w:val="citation-17"/>
          <w:rFonts w:eastAsiaTheme="majorEastAsia"/>
          <w:i/>
          <w:iCs/>
        </w:rPr>
        <w:t>Rate</w:t>
      </w:r>
      <w:proofErr w:type="spellEnd"/>
      <w:r>
        <w:rPr>
          <w:rStyle w:val="citation-17"/>
          <w:rFonts w:eastAsiaTheme="majorEastAsia"/>
          <w:i/>
          <w:iCs/>
        </w:rPr>
        <w:t xml:space="preserve"> / Συνολικό Κόστος Εφοδιαστικής)</w:t>
      </w:r>
      <w:r>
        <w:t xml:space="preserve">. </w:t>
      </w:r>
      <w:r w:rsidR="00FE4FB8" w:rsidRPr="00455FEC">
        <w:rPr>
          <w:b/>
          <w:color w:val="FF0000"/>
        </w:rPr>
        <w:t>ΤΥΠΟΣ:</w:t>
      </w:r>
      <w:r w:rsidR="00FE4FB8" w:rsidRPr="00455FEC">
        <w:rPr>
          <w:b/>
          <w:bCs/>
          <w:color w:val="FF0000"/>
        </w:rPr>
        <w:t xml:space="preserve"> </w:t>
      </w:r>
      <w:proofErr w:type="spellStart"/>
      <w:r w:rsidR="00FE4FB8" w:rsidRPr="00455FEC">
        <w:rPr>
          <w:b/>
          <w:bCs/>
          <w:color w:val="FF0000"/>
        </w:rPr>
        <w:t>Value</w:t>
      </w:r>
      <w:proofErr w:type="spellEnd"/>
      <w:r w:rsidR="00FE4FB8" w:rsidRPr="00455FEC">
        <w:rPr>
          <w:b/>
          <w:bCs/>
          <w:color w:val="FF0000"/>
        </w:rPr>
        <w:t xml:space="preserve"> </w:t>
      </w:r>
      <w:proofErr w:type="spellStart"/>
      <w:r w:rsidR="00FE4FB8" w:rsidRPr="00455FEC">
        <w:rPr>
          <w:b/>
          <w:bCs/>
          <w:color w:val="FF0000"/>
        </w:rPr>
        <w:t>Index</w:t>
      </w:r>
      <w:proofErr w:type="spellEnd"/>
      <w:r w:rsidR="00FE4FB8" w:rsidRPr="00455FEC">
        <w:rPr>
          <w:b/>
          <w:bCs/>
          <w:color w:val="FF0000"/>
        </w:rPr>
        <w:t xml:space="preserve"> (Απόδοση Αξίας):</w:t>
      </w:r>
      <w:r w:rsidR="00FE4FB8" w:rsidRPr="00455FEC">
        <w:rPr>
          <w:b/>
          <w:color w:val="FF0000"/>
        </w:rPr>
        <w:t xml:space="preserve"> Ποιότητα (POR) / Συνολικό Κόστος. </w:t>
      </w:r>
    </w:p>
    <w:p w:rsidR="00455FEC" w:rsidRPr="00455FEC" w:rsidRDefault="00455FEC" w:rsidP="00455FEC">
      <w:pPr>
        <w:pStyle w:val="Web"/>
        <w:ind w:left="720"/>
      </w:pPr>
    </w:p>
    <w:p w:rsidR="0005320F" w:rsidRPr="00455FEC" w:rsidRDefault="0005320F" w:rsidP="00455FEC">
      <w:pPr>
        <w:pStyle w:val="Web"/>
        <w:numPr>
          <w:ilvl w:val="0"/>
          <w:numId w:val="10"/>
        </w:numPr>
        <w:rPr>
          <w:b/>
          <w:color w:val="FF0000"/>
        </w:rPr>
      </w:pPr>
      <w:r>
        <w:lastRenderedPageBreak/>
        <w:t xml:space="preserve">Το </w:t>
      </w:r>
      <w:r>
        <w:rPr>
          <w:b/>
          <w:bCs/>
        </w:rPr>
        <w:t>COPQ (</w:t>
      </w:r>
      <w:proofErr w:type="spellStart"/>
      <w:r>
        <w:rPr>
          <w:b/>
          <w:bCs/>
        </w:rPr>
        <w:t>Cost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Quality</w:t>
      </w:r>
      <w:proofErr w:type="spellEnd"/>
      <w:r>
        <w:rPr>
          <w:b/>
          <w:bCs/>
        </w:rPr>
        <w:t xml:space="preserve"> – Κόστος Μη Ποιότητας)</w:t>
      </w:r>
      <w:r>
        <w:t xml:space="preserve"> είναι μια θεμελιώδης έννοια που δεν λειτουργεί απομονωμένα, αλλά εντάσσεται οργανικά σε συγκεκριμένα πλαίσια, επιστημονικά πεδία και επιχειρησιακές λειτουργίες</w:t>
      </w:r>
      <w:r w:rsidRPr="008B74F9">
        <w:rPr>
          <w:b/>
        </w:rPr>
        <w:t>.</w:t>
      </w:r>
      <w:r w:rsidR="00455FEC" w:rsidRPr="00455FEC">
        <w:t xml:space="preserve"> </w:t>
      </w:r>
      <w:r w:rsidR="00455FEC">
        <w:t>Α</w:t>
      </w:r>
      <w:r w:rsidR="00455FEC" w:rsidRPr="0050322A">
        <w:t xml:space="preserve">ντιπροσωπεύει τις οικονομικές επιπτώσεις που προκύπτουν από αστοχίες, σφάλματα και αναποτελεσματικότητα στην εφοδιαστική αλυσίδα. </w:t>
      </w:r>
      <w:r w:rsidR="008B74F9" w:rsidRPr="008B74F9">
        <w:rPr>
          <w:b/>
        </w:rPr>
        <w:t xml:space="preserve"> </w:t>
      </w:r>
      <w:r w:rsidR="008B74F9" w:rsidRPr="008B74F9">
        <w:rPr>
          <w:b/>
          <w:color w:val="FF0000"/>
        </w:rPr>
        <w:t xml:space="preserve">ΤΥΠΟΣ: </w:t>
      </w:r>
      <w:r w:rsidR="008B74F9" w:rsidRPr="008B74F9">
        <w:rPr>
          <w:b/>
          <w:bCs/>
          <w:color w:val="FF0000"/>
        </w:rPr>
        <w:t>COPQ (</w:t>
      </w:r>
      <w:proofErr w:type="spellStart"/>
      <w:r w:rsidR="008B74F9" w:rsidRPr="008B74F9">
        <w:rPr>
          <w:b/>
          <w:bCs/>
          <w:color w:val="FF0000"/>
        </w:rPr>
        <w:t>Cost</w:t>
      </w:r>
      <w:proofErr w:type="spellEnd"/>
      <w:r w:rsidR="008B74F9" w:rsidRPr="008B74F9">
        <w:rPr>
          <w:b/>
          <w:bCs/>
          <w:color w:val="FF0000"/>
        </w:rPr>
        <w:t xml:space="preserve"> </w:t>
      </w:r>
      <w:proofErr w:type="spellStart"/>
      <w:r w:rsidR="008B74F9" w:rsidRPr="008B74F9">
        <w:rPr>
          <w:b/>
          <w:bCs/>
          <w:color w:val="FF0000"/>
        </w:rPr>
        <w:t>of</w:t>
      </w:r>
      <w:proofErr w:type="spellEnd"/>
      <w:r w:rsidR="008B74F9" w:rsidRPr="008B74F9">
        <w:rPr>
          <w:b/>
          <w:bCs/>
          <w:color w:val="FF0000"/>
        </w:rPr>
        <w:t xml:space="preserve"> </w:t>
      </w:r>
      <w:proofErr w:type="spellStart"/>
      <w:r w:rsidR="008B74F9" w:rsidRPr="008B74F9">
        <w:rPr>
          <w:b/>
          <w:bCs/>
          <w:color w:val="FF0000"/>
        </w:rPr>
        <w:t>Poor</w:t>
      </w:r>
      <w:proofErr w:type="spellEnd"/>
      <w:r w:rsidR="008B74F9" w:rsidRPr="008B74F9">
        <w:rPr>
          <w:b/>
          <w:bCs/>
          <w:color w:val="FF0000"/>
        </w:rPr>
        <w:t xml:space="preserve"> </w:t>
      </w:r>
      <w:proofErr w:type="spellStart"/>
      <w:r w:rsidR="008B74F9" w:rsidRPr="008B74F9">
        <w:rPr>
          <w:b/>
          <w:bCs/>
          <w:color w:val="FF0000"/>
        </w:rPr>
        <w:t>Quality</w:t>
      </w:r>
      <w:proofErr w:type="spellEnd"/>
      <w:r w:rsidR="008B74F9" w:rsidRPr="008B74F9">
        <w:rPr>
          <w:b/>
          <w:bCs/>
          <w:color w:val="FF0000"/>
        </w:rPr>
        <w:t>):</w:t>
      </w:r>
      <w:r w:rsidR="008B74F9" w:rsidRPr="008B74F9">
        <w:rPr>
          <w:b/>
          <w:color w:val="FF0000"/>
        </w:rPr>
        <w:t xml:space="preserve"> Άθροισμα κόστους επιστροφών, αποζημιώσεων και </w:t>
      </w:r>
      <w:proofErr w:type="spellStart"/>
      <w:r w:rsidR="008B74F9" w:rsidRPr="008B74F9">
        <w:rPr>
          <w:b/>
          <w:color w:val="FF0000"/>
        </w:rPr>
        <w:t>επανεκτέλεσης</w:t>
      </w:r>
      <w:proofErr w:type="spellEnd"/>
      <w:r w:rsidR="008B74F9" w:rsidRPr="008B74F9">
        <w:rPr>
          <w:b/>
          <w:color w:val="FF0000"/>
        </w:rPr>
        <w:t>.</w:t>
      </w:r>
      <w:r w:rsidR="008B74F9" w:rsidRPr="008B74F9">
        <w:rPr>
          <w:b/>
        </w:rPr>
        <w:t xml:space="preserve"> </w:t>
      </w:r>
    </w:p>
    <w:p w:rsidR="0005320F" w:rsidRDefault="0005320F" w:rsidP="0005320F">
      <w:pPr>
        <w:pStyle w:val="Web"/>
      </w:pPr>
      <w:r>
        <w:rPr>
          <w:lang w:val="en-US"/>
        </w:rPr>
        <w:t>E</w:t>
      </w:r>
      <w:proofErr w:type="spellStart"/>
      <w:r>
        <w:t>ντάσσεται</w:t>
      </w:r>
      <w:proofErr w:type="spellEnd"/>
      <w:r>
        <w:t xml:space="preserve"> στα εξής 4 επίπεδα:</w:t>
      </w:r>
    </w:p>
    <w:p w:rsidR="0005320F" w:rsidRPr="0005320F" w:rsidRDefault="0005320F" w:rsidP="0005320F">
      <w:pPr>
        <w:pStyle w:val="3"/>
        <w:rPr>
          <w:i/>
          <w:sz w:val="22"/>
          <w:szCs w:val="22"/>
        </w:rPr>
      </w:pPr>
      <w:r w:rsidRPr="0005320F">
        <w:rPr>
          <w:i/>
          <w:sz w:val="22"/>
          <w:szCs w:val="22"/>
        </w:rPr>
        <w:t xml:space="preserve">1. Στο πεδίο του </w:t>
      </w:r>
      <w:proofErr w:type="spellStart"/>
      <w:r w:rsidRPr="0005320F">
        <w:rPr>
          <w:i/>
          <w:sz w:val="22"/>
          <w:szCs w:val="22"/>
        </w:rPr>
        <w:t>Lean</w:t>
      </w:r>
      <w:proofErr w:type="spellEnd"/>
      <w:r w:rsidRPr="0005320F">
        <w:rPr>
          <w:i/>
          <w:sz w:val="22"/>
          <w:szCs w:val="22"/>
        </w:rPr>
        <w:t xml:space="preserve"> </w:t>
      </w:r>
      <w:proofErr w:type="spellStart"/>
      <w:r w:rsidRPr="0005320F">
        <w:rPr>
          <w:i/>
          <w:sz w:val="22"/>
          <w:szCs w:val="22"/>
        </w:rPr>
        <w:t>Six</w:t>
      </w:r>
      <w:proofErr w:type="spellEnd"/>
      <w:r w:rsidRPr="0005320F">
        <w:rPr>
          <w:i/>
          <w:sz w:val="22"/>
          <w:szCs w:val="22"/>
        </w:rPr>
        <w:t xml:space="preserve"> </w:t>
      </w:r>
      <w:proofErr w:type="spellStart"/>
      <w:r w:rsidRPr="0005320F">
        <w:rPr>
          <w:i/>
          <w:sz w:val="22"/>
          <w:szCs w:val="22"/>
        </w:rPr>
        <w:t>Sigma</w:t>
      </w:r>
      <w:proofErr w:type="spellEnd"/>
      <w:r w:rsidRPr="0005320F">
        <w:rPr>
          <w:i/>
          <w:sz w:val="22"/>
          <w:szCs w:val="22"/>
        </w:rPr>
        <w:t xml:space="preserve"> (Διοίκηση Ολικής Ποιότητας - TQM)</w:t>
      </w:r>
    </w:p>
    <w:p w:rsidR="0005320F" w:rsidRDefault="0005320F" w:rsidP="0005320F">
      <w:pPr>
        <w:pStyle w:val="Web"/>
      </w:pPr>
      <w:r>
        <w:t xml:space="preserve">Στη διεθνή βιβλιογραφία της διαχείρισης ποιότητας, το COPQ αποτελεί το βασικό εργαλείο μέτρησης της αποτυχίας. Εντάσσεται στο παραδοσιακό </w:t>
      </w:r>
      <w:r>
        <w:rPr>
          <w:b/>
          <w:bCs/>
        </w:rPr>
        <w:t>Μοντέλο Κόστους Ποιότητας PAF (</w:t>
      </w:r>
      <w:proofErr w:type="spellStart"/>
      <w:r>
        <w:rPr>
          <w:b/>
          <w:bCs/>
        </w:rPr>
        <w:t>Prevention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Appraisal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Failure</w:t>
      </w:r>
      <w:proofErr w:type="spellEnd"/>
      <w:r>
        <w:rPr>
          <w:b/>
          <w:bCs/>
        </w:rPr>
        <w:t>)</w:t>
      </w:r>
      <w:r>
        <w:t>.</w:t>
      </w:r>
    </w:p>
    <w:p w:rsidR="0005320F" w:rsidRDefault="0005320F" w:rsidP="0005320F">
      <w:pPr>
        <w:pStyle w:val="Web"/>
      </w:pPr>
      <w:r>
        <w:t>Το συνολικό κόστος ποιότητας χωρίζεται σε:</w:t>
      </w:r>
    </w:p>
    <w:p w:rsidR="0005320F" w:rsidRDefault="0005320F" w:rsidP="0005320F">
      <w:pPr>
        <w:pStyle w:val="Web"/>
        <w:numPr>
          <w:ilvl w:val="0"/>
          <w:numId w:val="6"/>
        </w:numPr>
      </w:pPr>
      <w:r>
        <w:rPr>
          <w:b/>
          <w:bCs/>
        </w:rPr>
        <w:t>Κόστος Πρόληψης (</w:t>
      </w:r>
      <w:proofErr w:type="spellStart"/>
      <w:r>
        <w:rPr>
          <w:b/>
          <w:bCs/>
        </w:rPr>
        <w:t>Prevention</w:t>
      </w:r>
      <w:proofErr w:type="spellEnd"/>
      <w:r>
        <w:rPr>
          <w:b/>
          <w:bCs/>
        </w:rPr>
        <w:t>):</w:t>
      </w:r>
      <w:r>
        <w:t xml:space="preserve"> Έξοδα για να μην γίνουν λάθη (π.χ. εκπαίδευση προσωπικού).</w:t>
      </w:r>
    </w:p>
    <w:p w:rsidR="0005320F" w:rsidRDefault="0005320F" w:rsidP="0005320F">
      <w:pPr>
        <w:pStyle w:val="Web"/>
        <w:numPr>
          <w:ilvl w:val="0"/>
          <w:numId w:val="6"/>
        </w:numPr>
      </w:pPr>
      <w:r>
        <w:rPr>
          <w:b/>
          <w:bCs/>
        </w:rPr>
        <w:t>Κόστος Αξιολόγησης (</w:t>
      </w:r>
      <w:proofErr w:type="spellStart"/>
      <w:r>
        <w:rPr>
          <w:b/>
          <w:bCs/>
        </w:rPr>
        <w:t>Appraisal</w:t>
      </w:r>
      <w:proofErr w:type="spellEnd"/>
      <w:r>
        <w:rPr>
          <w:b/>
          <w:bCs/>
        </w:rPr>
        <w:t>):</w:t>
      </w:r>
      <w:r>
        <w:t xml:space="preserve"> Έξοδα για έλεγχο (π.χ. επιθεωρήσεις, </w:t>
      </w:r>
      <w:proofErr w:type="spellStart"/>
      <w:r>
        <w:t>audits</w:t>
      </w:r>
      <w:proofErr w:type="spellEnd"/>
      <w:r>
        <w:t>).</w:t>
      </w:r>
    </w:p>
    <w:p w:rsidR="0005320F" w:rsidRDefault="0005320F" w:rsidP="0005320F">
      <w:pPr>
        <w:pStyle w:val="Web"/>
        <w:numPr>
          <w:ilvl w:val="0"/>
          <w:numId w:val="6"/>
        </w:numPr>
      </w:pPr>
      <w:r>
        <w:rPr>
          <w:b/>
          <w:bCs/>
        </w:rPr>
        <w:t>Κόστος Αστοχίας / COPQ (</w:t>
      </w:r>
      <w:proofErr w:type="spellStart"/>
      <w:r>
        <w:rPr>
          <w:b/>
          <w:bCs/>
        </w:rPr>
        <w:t>Failure</w:t>
      </w:r>
      <w:proofErr w:type="spellEnd"/>
      <w:r>
        <w:rPr>
          <w:b/>
          <w:bCs/>
        </w:rPr>
        <w:t>):</w:t>
      </w:r>
      <w:r>
        <w:t xml:space="preserve"> Εδώ ακριβώς εντάσσεται το COPQ, το οποίο υποδιαιρείται σε:</w:t>
      </w:r>
    </w:p>
    <w:p w:rsidR="0005320F" w:rsidRDefault="0005320F" w:rsidP="0005320F">
      <w:pPr>
        <w:pStyle w:val="Web"/>
        <w:numPr>
          <w:ilvl w:val="1"/>
          <w:numId w:val="6"/>
        </w:numPr>
      </w:pPr>
      <w:r>
        <w:rPr>
          <w:i/>
          <w:iCs/>
        </w:rPr>
        <w:t>Εσωτερικό Κόστος Αστοχίας:</w:t>
      </w:r>
      <w:r>
        <w:t xml:space="preserve"> Λάθη που βρίσκουμε </w:t>
      </w:r>
      <w:r>
        <w:rPr>
          <w:b/>
          <w:bCs/>
        </w:rPr>
        <w:t>πριν</w:t>
      </w:r>
      <w:r>
        <w:t xml:space="preserve"> το φορτίο φτάσει στον πελάτη (π.χ. προϊόντα που καταστράφηκαν στην αποθήκη και πρέπει να </w:t>
      </w:r>
      <w:proofErr w:type="spellStart"/>
      <w:r>
        <w:t>ξανασυσκευαστούν</w:t>
      </w:r>
      <w:proofErr w:type="spellEnd"/>
      <w:r>
        <w:t>).</w:t>
      </w:r>
    </w:p>
    <w:p w:rsidR="0005320F" w:rsidRDefault="0005320F" w:rsidP="0005320F">
      <w:pPr>
        <w:pStyle w:val="Web"/>
        <w:numPr>
          <w:ilvl w:val="1"/>
          <w:numId w:val="6"/>
        </w:numPr>
      </w:pPr>
      <w:r>
        <w:rPr>
          <w:i/>
          <w:iCs/>
        </w:rPr>
        <w:t>Εξωτερικό Κόστος Αστοχίας:</w:t>
      </w:r>
      <w:r>
        <w:t xml:space="preserve"> Λάθη που εντοπίζει ο </w:t>
      </w:r>
      <w:r>
        <w:rPr>
          <w:b/>
          <w:bCs/>
        </w:rPr>
        <w:t>πελάτης</w:t>
      </w:r>
      <w:r>
        <w:t xml:space="preserve"> (π.χ. καθυστερημένη παράδοση, σπασμένα εμπορεύματα στον προορισμό, αποζημιώσεις).</w:t>
      </w:r>
    </w:p>
    <w:p w:rsidR="0005320F" w:rsidRPr="0005320F" w:rsidRDefault="0005320F" w:rsidP="0005320F">
      <w:pPr>
        <w:pStyle w:val="3"/>
        <w:rPr>
          <w:i/>
          <w:sz w:val="22"/>
          <w:szCs w:val="22"/>
        </w:rPr>
      </w:pPr>
      <w:r w:rsidRPr="0005320F">
        <w:rPr>
          <w:i/>
          <w:sz w:val="22"/>
          <w:szCs w:val="22"/>
        </w:rPr>
        <w:t>2. Στη Χαρτογράφηση Ροής Αξίας (</w:t>
      </w:r>
      <w:proofErr w:type="spellStart"/>
      <w:r w:rsidRPr="0005320F">
        <w:rPr>
          <w:i/>
          <w:sz w:val="22"/>
          <w:szCs w:val="22"/>
        </w:rPr>
        <w:t>Value</w:t>
      </w:r>
      <w:proofErr w:type="spellEnd"/>
      <w:r w:rsidRPr="0005320F">
        <w:rPr>
          <w:i/>
          <w:sz w:val="22"/>
          <w:szCs w:val="22"/>
        </w:rPr>
        <w:t xml:space="preserve"> </w:t>
      </w:r>
      <w:proofErr w:type="spellStart"/>
      <w:r w:rsidRPr="0005320F">
        <w:rPr>
          <w:i/>
          <w:sz w:val="22"/>
          <w:szCs w:val="22"/>
        </w:rPr>
        <w:t>Stream</w:t>
      </w:r>
      <w:proofErr w:type="spellEnd"/>
      <w:r w:rsidRPr="0005320F">
        <w:rPr>
          <w:i/>
          <w:sz w:val="22"/>
          <w:szCs w:val="22"/>
        </w:rPr>
        <w:t xml:space="preserve"> </w:t>
      </w:r>
      <w:proofErr w:type="spellStart"/>
      <w:r w:rsidRPr="0005320F">
        <w:rPr>
          <w:i/>
          <w:sz w:val="22"/>
          <w:szCs w:val="22"/>
        </w:rPr>
        <w:t>Mapping</w:t>
      </w:r>
      <w:proofErr w:type="spellEnd"/>
      <w:r w:rsidRPr="0005320F">
        <w:rPr>
          <w:i/>
          <w:sz w:val="22"/>
          <w:szCs w:val="22"/>
        </w:rPr>
        <w:t xml:space="preserve"> - VSM)</w:t>
      </w:r>
    </w:p>
    <w:p w:rsidR="0005320F" w:rsidRDefault="0005320F" w:rsidP="0005320F">
      <w:pPr>
        <w:pStyle w:val="Web"/>
      </w:pPr>
      <w:r>
        <w:t xml:space="preserve">Στο μάθημα των Ολοκληρωμένων Μεταφορών, όταν σχεδιάζουμε ένα VSM, το COPQ εντάσσεται απευθείας στην κατηγορία της </w:t>
      </w:r>
      <w:r>
        <w:rPr>
          <w:b/>
          <w:bCs/>
        </w:rPr>
        <w:t>Μη Προστιθέμενης Αξίας (</w:t>
      </w:r>
      <w:proofErr w:type="spellStart"/>
      <w:r>
        <w:rPr>
          <w:b/>
          <w:bCs/>
        </w:rPr>
        <w:t>Waste</w:t>
      </w:r>
      <w:proofErr w:type="spellEnd"/>
      <w:r>
        <w:rPr>
          <w:b/>
          <w:bCs/>
        </w:rPr>
        <w:t xml:space="preserve"> / Σπατάλη)</w:t>
      </w:r>
      <w:r>
        <w:t>.</w:t>
      </w:r>
    </w:p>
    <w:p w:rsidR="0005320F" w:rsidRDefault="0005320F" w:rsidP="0005320F">
      <w:pPr>
        <w:pStyle w:val="Web"/>
      </w:pPr>
      <w:r>
        <w:t xml:space="preserve">Κάθε φορά που εκτελείται μια δραστηριότητα που ανήκει στο COPQ (όπως το </w:t>
      </w:r>
      <w:proofErr w:type="spellStart"/>
      <w:r>
        <w:t>Reverse</w:t>
      </w:r>
      <w:proofErr w:type="spellEnd"/>
      <w:r>
        <w:t xml:space="preserve"> </w:t>
      </w:r>
      <w:proofErr w:type="spellStart"/>
      <w:r>
        <w:t>Logistics</w:t>
      </w:r>
      <w:proofErr w:type="spellEnd"/>
      <w:r>
        <w:t xml:space="preserve"> για μια επιστροφή ή η αναμονή ενός φορτηγού λόγω λάθος εγγράφων), αυτή καταγράφεται στο VSM ως καθαρή απώλεια χρόνου και χρήματος, μειώνοντας τον δείκτη </w:t>
      </w:r>
      <w:proofErr w:type="spellStart"/>
      <w:r>
        <w:rPr>
          <w:i/>
          <w:iCs/>
        </w:rPr>
        <w:t>Process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Cycle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Efficiency</w:t>
      </w:r>
      <w:proofErr w:type="spellEnd"/>
      <w:r>
        <w:t>.</w:t>
      </w:r>
    </w:p>
    <w:p w:rsidR="0005320F" w:rsidRPr="0005320F" w:rsidRDefault="0005320F" w:rsidP="0005320F">
      <w:pPr>
        <w:pStyle w:val="3"/>
        <w:rPr>
          <w:i/>
          <w:sz w:val="22"/>
          <w:szCs w:val="22"/>
        </w:rPr>
      </w:pPr>
      <w:r w:rsidRPr="0005320F">
        <w:rPr>
          <w:i/>
          <w:sz w:val="22"/>
          <w:szCs w:val="22"/>
        </w:rPr>
        <w:t xml:space="preserve">3. Στα Πληροφοριακά Συστήματα (ERP &amp; </w:t>
      </w:r>
      <w:proofErr w:type="spellStart"/>
      <w:r w:rsidRPr="0005320F">
        <w:rPr>
          <w:i/>
          <w:sz w:val="22"/>
          <w:szCs w:val="22"/>
        </w:rPr>
        <w:t>Business</w:t>
      </w:r>
      <w:proofErr w:type="spellEnd"/>
      <w:r w:rsidRPr="0005320F">
        <w:rPr>
          <w:i/>
          <w:sz w:val="22"/>
          <w:szCs w:val="22"/>
        </w:rPr>
        <w:t xml:space="preserve"> </w:t>
      </w:r>
      <w:proofErr w:type="spellStart"/>
      <w:r w:rsidRPr="0005320F">
        <w:rPr>
          <w:i/>
          <w:sz w:val="22"/>
          <w:szCs w:val="22"/>
        </w:rPr>
        <w:t>Intelligence</w:t>
      </w:r>
      <w:proofErr w:type="spellEnd"/>
      <w:r w:rsidRPr="0005320F">
        <w:rPr>
          <w:i/>
          <w:sz w:val="22"/>
          <w:szCs w:val="22"/>
        </w:rPr>
        <w:t>)</w:t>
      </w:r>
    </w:p>
    <w:p w:rsidR="0005320F" w:rsidRDefault="0005320F" w:rsidP="0005320F">
      <w:pPr>
        <w:pStyle w:val="Web"/>
      </w:pPr>
      <w:r>
        <w:t xml:space="preserve">Στο πρακτικό/τεχνολογικό κομμάτι των </w:t>
      </w:r>
      <w:proofErr w:type="spellStart"/>
      <w:r>
        <w:t>Logistics</w:t>
      </w:r>
      <w:proofErr w:type="spellEnd"/>
      <w:r>
        <w:t xml:space="preserve">, το COPQ εντάσσεται στο </w:t>
      </w:r>
      <w:r>
        <w:rPr>
          <w:b/>
          <w:bCs/>
        </w:rPr>
        <w:t>Σύστημα ERP</w:t>
      </w:r>
      <w:r>
        <w:t xml:space="preserve"> της εταιρείας.</w:t>
      </w:r>
    </w:p>
    <w:p w:rsidR="0005320F" w:rsidRDefault="0005320F" w:rsidP="0005320F">
      <w:pPr>
        <w:pStyle w:val="Web"/>
        <w:numPr>
          <w:ilvl w:val="0"/>
          <w:numId w:val="7"/>
        </w:numPr>
      </w:pPr>
      <w:r>
        <w:t>Δεν είναι ένας δείκτης που τον υπολογίζει ο αποθηκάριος με το χέρι.</w:t>
      </w:r>
    </w:p>
    <w:p w:rsidR="0005320F" w:rsidRDefault="0005320F" w:rsidP="0005320F">
      <w:pPr>
        <w:pStyle w:val="Web"/>
        <w:numPr>
          <w:ilvl w:val="0"/>
          <w:numId w:val="7"/>
        </w:numPr>
      </w:pPr>
      <w:r>
        <w:t>Το ERP συγκεντρώνει αυτόματα τις πιστωτικές αποδείξεις, τα κόστη καταστροφών, τις δαπάνες για επιστροφές και τα πρόστιμα.</w:t>
      </w:r>
    </w:p>
    <w:p w:rsidR="0005320F" w:rsidRDefault="0005320F" w:rsidP="0005320F">
      <w:pPr>
        <w:pStyle w:val="Web"/>
        <w:numPr>
          <w:ilvl w:val="0"/>
          <w:numId w:val="7"/>
        </w:numPr>
      </w:pPr>
      <w:r>
        <w:lastRenderedPageBreak/>
        <w:t xml:space="preserve">Στη συνέχεια, τα δεδομένα αυτά τροφοδοτούν τα </w:t>
      </w:r>
      <w:r>
        <w:rPr>
          <w:b/>
          <w:bCs/>
        </w:rPr>
        <w:t xml:space="preserve">BI </w:t>
      </w:r>
      <w:proofErr w:type="spellStart"/>
      <w:r>
        <w:rPr>
          <w:b/>
          <w:bCs/>
        </w:rPr>
        <w:t>Dashboards</w:t>
      </w:r>
      <w:proofErr w:type="spellEnd"/>
      <w:r>
        <w:rPr>
          <w:b/>
          <w:bCs/>
        </w:rPr>
        <w:t xml:space="preserve"> (Πίνακες Στατιστικών)</w:t>
      </w:r>
      <w:r>
        <w:t>. Εκεί, το COPQ εμφανίζεται συνήθως ως οικονομικό μέγεθος (σε €) δίπλα-δίπλα με ποσοτικούς δείκτες όπως το POR (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Rate</w:t>
      </w:r>
      <w:proofErr w:type="spellEnd"/>
      <w:r>
        <w:t>), ώστε η διοίκηση να βλέπει τη σύνδεση της ποιότητας με τα κέρδη.</w:t>
      </w:r>
    </w:p>
    <w:p w:rsidR="0005320F" w:rsidRPr="0005320F" w:rsidRDefault="0005320F" w:rsidP="0005320F">
      <w:pPr>
        <w:pStyle w:val="3"/>
        <w:rPr>
          <w:i/>
          <w:sz w:val="22"/>
          <w:szCs w:val="22"/>
        </w:rPr>
      </w:pPr>
      <w:r w:rsidRPr="0005320F">
        <w:rPr>
          <w:i/>
          <w:sz w:val="22"/>
          <w:szCs w:val="22"/>
        </w:rPr>
        <w:t>4. Στη Στρατηγική Λήψη Αποφάσεων (</w:t>
      </w:r>
      <w:proofErr w:type="spellStart"/>
      <w:r w:rsidRPr="0005320F">
        <w:rPr>
          <w:i/>
          <w:sz w:val="22"/>
          <w:szCs w:val="22"/>
        </w:rPr>
        <w:t>Value</w:t>
      </w:r>
      <w:proofErr w:type="spellEnd"/>
      <w:r w:rsidRPr="0005320F">
        <w:rPr>
          <w:i/>
          <w:sz w:val="22"/>
          <w:szCs w:val="22"/>
        </w:rPr>
        <w:t xml:space="preserve"> </w:t>
      </w:r>
      <w:proofErr w:type="spellStart"/>
      <w:r w:rsidRPr="0005320F">
        <w:rPr>
          <w:i/>
          <w:sz w:val="22"/>
          <w:szCs w:val="22"/>
        </w:rPr>
        <w:t>Index</w:t>
      </w:r>
      <w:proofErr w:type="spellEnd"/>
      <w:r w:rsidRPr="0005320F">
        <w:rPr>
          <w:i/>
          <w:sz w:val="22"/>
          <w:szCs w:val="22"/>
        </w:rPr>
        <w:t>)</w:t>
      </w:r>
    </w:p>
    <w:p w:rsidR="00FE4FB8" w:rsidRPr="00455FEC" w:rsidRDefault="0005320F" w:rsidP="00FE4FB8">
      <w:pPr>
        <w:pStyle w:val="Web"/>
        <w:rPr>
          <w:b/>
          <w:bCs/>
        </w:rPr>
      </w:pPr>
      <w:r>
        <w:t xml:space="preserve">Το COPQ αποτελεί τον παρονομαστή της βιωσιμότητας. Εντάσσεται στον υπολογισμό του </w:t>
      </w:r>
      <w:proofErr w:type="spellStart"/>
      <w:r>
        <w:rPr>
          <w:b/>
          <w:bCs/>
        </w:rPr>
        <w:t>Value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Index</w:t>
      </w:r>
      <w:proofErr w:type="spellEnd"/>
      <w:r>
        <w:rPr>
          <w:b/>
          <w:bCs/>
        </w:rPr>
        <w:t xml:space="preserve"> (Δείκτης Αξία</w:t>
      </w:r>
      <w:r w:rsidR="00455FEC" w:rsidRPr="00455FEC">
        <w:rPr>
          <w:b/>
          <w:bCs/>
        </w:rPr>
        <w:t>)</w:t>
      </w:r>
    </w:p>
    <w:p w:rsidR="0005320F" w:rsidRPr="00FE4FB8" w:rsidRDefault="0005320F" w:rsidP="00FE4FB8">
      <w:pPr>
        <w:pStyle w:val="Web"/>
      </w:pPr>
      <w:r w:rsidRPr="00FE4FB8">
        <w:rPr>
          <w:lang w:val="en-US"/>
        </w:rPr>
        <w:t>Value</w:t>
      </w:r>
      <w:r w:rsidRPr="00FE4FB8">
        <w:t xml:space="preserve"> </w:t>
      </w:r>
      <w:r w:rsidR="00FE4FB8" w:rsidRPr="00FE4FB8">
        <w:t xml:space="preserve">= </w:t>
      </w:r>
      <w:r>
        <w:t>Ποιότητα</w:t>
      </w:r>
      <w:r w:rsidRPr="00FE4FB8">
        <w:t xml:space="preserve"> (</w:t>
      </w:r>
      <w:r w:rsidRPr="00FE4FB8">
        <w:rPr>
          <w:lang w:val="en-US"/>
        </w:rPr>
        <w:t>Perfect</w:t>
      </w:r>
      <w:r w:rsidRPr="00FE4FB8">
        <w:t xml:space="preserve"> </w:t>
      </w:r>
      <w:r w:rsidRPr="00FE4FB8">
        <w:rPr>
          <w:lang w:val="en-US"/>
        </w:rPr>
        <w:t>Order</w:t>
      </w:r>
      <w:r w:rsidRPr="00FE4FB8">
        <w:t xml:space="preserve"> </w:t>
      </w:r>
      <w:r w:rsidRPr="00FE4FB8">
        <w:rPr>
          <w:lang w:val="en-US"/>
        </w:rPr>
        <w:t>Rate</w:t>
      </w:r>
      <w:r w:rsidR="00FE4FB8">
        <w:t>)</w:t>
      </w:r>
      <w:r w:rsidR="00FE4FB8" w:rsidRPr="00FE4FB8">
        <w:t xml:space="preserve"> /</w:t>
      </w:r>
      <w:r>
        <w:t>Συνολικό</w:t>
      </w:r>
      <w:r w:rsidRPr="00FE4FB8">
        <w:t xml:space="preserve"> </w:t>
      </w:r>
      <w:r>
        <w:t>Κόστος</w:t>
      </w:r>
      <w:r w:rsidRPr="00FE4FB8">
        <w:t xml:space="preserve"> (</w:t>
      </w:r>
      <w:r>
        <w:t>Ναύλος</w:t>
      </w:r>
      <w:r w:rsidRPr="00FE4FB8">
        <w:t xml:space="preserve"> + </w:t>
      </w:r>
      <w:r w:rsidRPr="00FE4FB8">
        <w:rPr>
          <w:lang w:val="en-US"/>
        </w:rPr>
        <w:t>COPQ</w:t>
      </w:r>
      <w:r w:rsidRPr="00FE4FB8">
        <w:t>)</w:t>
      </w:r>
    </w:p>
    <w:p w:rsidR="0005320F" w:rsidRPr="00FE4FB8" w:rsidRDefault="0005320F" w:rsidP="00503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</w:p>
    <w:p w:rsidR="00672FF0" w:rsidRPr="00FE4FB8" w:rsidRDefault="00672FF0" w:rsidP="00FE4FB8"/>
    <w:sectPr w:rsidR="00672FF0" w:rsidRPr="00FE4FB8" w:rsidSect="009A33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17D5"/>
    <w:multiLevelType w:val="multilevel"/>
    <w:tmpl w:val="D58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06DCE"/>
    <w:multiLevelType w:val="multilevel"/>
    <w:tmpl w:val="7AE0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B3CF9"/>
    <w:multiLevelType w:val="multilevel"/>
    <w:tmpl w:val="A14A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23602"/>
    <w:multiLevelType w:val="hybridMultilevel"/>
    <w:tmpl w:val="384C2156"/>
    <w:lvl w:ilvl="0" w:tplc="5798E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61F8F"/>
    <w:multiLevelType w:val="multilevel"/>
    <w:tmpl w:val="E196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32E65"/>
    <w:multiLevelType w:val="multilevel"/>
    <w:tmpl w:val="12A2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545FC7"/>
    <w:multiLevelType w:val="hybridMultilevel"/>
    <w:tmpl w:val="548AC9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7E2C6E"/>
    <w:multiLevelType w:val="multilevel"/>
    <w:tmpl w:val="8010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3236C"/>
    <w:multiLevelType w:val="multilevel"/>
    <w:tmpl w:val="30A0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83405A"/>
    <w:multiLevelType w:val="multilevel"/>
    <w:tmpl w:val="0B88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9B3E0D"/>
    <w:multiLevelType w:val="hybridMultilevel"/>
    <w:tmpl w:val="51C45E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322A"/>
    <w:rsid w:val="0005320F"/>
    <w:rsid w:val="00242F96"/>
    <w:rsid w:val="00455FEC"/>
    <w:rsid w:val="0050322A"/>
    <w:rsid w:val="00672FF0"/>
    <w:rsid w:val="008B74F9"/>
    <w:rsid w:val="009A3360"/>
    <w:rsid w:val="00AC126C"/>
    <w:rsid w:val="00D54BD4"/>
    <w:rsid w:val="00F525C3"/>
    <w:rsid w:val="00FE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60"/>
  </w:style>
  <w:style w:type="paragraph" w:styleId="1">
    <w:name w:val="heading 1"/>
    <w:basedOn w:val="a"/>
    <w:next w:val="a"/>
    <w:link w:val="1Char"/>
    <w:uiPriority w:val="9"/>
    <w:qFormat/>
    <w:rsid w:val="00503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3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3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3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3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3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3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3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3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3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3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3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32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322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32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322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32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32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3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03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3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03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3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032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32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32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3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5032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322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05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</w:rPr>
  </w:style>
  <w:style w:type="character" w:customStyle="1" w:styleId="citation-25">
    <w:name w:val="citation-25"/>
    <w:basedOn w:val="a0"/>
    <w:rsid w:val="0005320F"/>
  </w:style>
  <w:style w:type="character" w:customStyle="1" w:styleId="citation-24">
    <w:name w:val="citation-24"/>
    <w:basedOn w:val="a0"/>
    <w:rsid w:val="0005320F"/>
  </w:style>
  <w:style w:type="character" w:customStyle="1" w:styleId="citation-23">
    <w:name w:val="citation-23"/>
    <w:basedOn w:val="a0"/>
    <w:rsid w:val="0005320F"/>
  </w:style>
  <w:style w:type="character" w:customStyle="1" w:styleId="citation-22">
    <w:name w:val="citation-22"/>
    <w:basedOn w:val="a0"/>
    <w:rsid w:val="0005320F"/>
  </w:style>
  <w:style w:type="character" w:customStyle="1" w:styleId="citation-21">
    <w:name w:val="citation-21"/>
    <w:basedOn w:val="a0"/>
    <w:rsid w:val="0005320F"/>
  </w:style>
  <w:style w:type="character" w:customStyle="1" w:styleId="citation-20">
    <w:name w:val="citation-20"/>
    <w:basedOn w:val="a0"/>
    <w:rsid w:val="0005320F"/>
  </w:style>
  <w:style w:type="character" w:customStyle="1" w:styleId="citation-19">
    <w:name w:val="citation-19"/>
    <w:basedOn w:val="a0"/>
    <w:rsid w:val="0005320F"/>
  </w:style>
  <w:style w:type="character" w:customStyle="1" w:styleId="citation-18">
    <w:name w:val="citation-18"/>
    <w:basedOn w:val="a0"/>
    <w:rsid w:val="0005320F"/>
  </w:style>
  <w:style w:type="character" w:customStyle="1" w:styleId="citation-17">
    <w:name w:val="citation-17"/>
    <w:basedOn w:val="a0"/>
    <w:rsid w:val="0005320F"/>
  </w:style>
  <w:style w:type="character" w:customStyle="1" w:styleId="math-inline">
    <w:name w:val="math-inline"/>
    <w:basedOn w:val="a0"/>
    <w:rsid w:val="00FE4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760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ΓΕΩΡΓΙΑ ΜΑΝΙΑΤΗ</dc:creator>
  <cp:keywords/>
  <dc:description/>
  <cp:lastModifiedBy>User</cp:lastModifiedBy>
  <cp:revision>3</cp:revision>
  <dcterms:created xsi:type="dcterms:W3CDTF">2026-05-11T11:34:00Z</dcterms:created>
  <dcterms:modified xsi:type="dcterms:W3CDTF">2026-05-31T15:14:00Z</dcterms:modified>
</cp:coreProperties>
</file>